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99" w:rsidRPr="00D84D99" w:rsidRDefault="00D84D99" w:rsidP="00D84D99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D84D99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Объём финансовой поддержки МСП за первое полугодие 2023 года составил более 770 </w:t>
      </w:r>
      <w:proofErr w:type="spellStart"/>
      <w:proofErr w:type="gramStart"/>
      <w:r w:rsidRPr="00D84D99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млрд</w:t>
      </w:r>
      <w:proofErr w:type="spellEnd"/>
      <w:proofErr w:type="gramEnd"/>
      <w:r w:rsidRPr="00D84D99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 рублей</w:t>
      </w:r>
    </w:p>
    <w:p w:rsidR="00D84D99" w:rsidRPr="00D84D99" w:rsidRDefault="00D84D99" w:rsidP="00D8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6245225" cy="3511550"/>
            <wp:effectExtent l="19050" t="0" r="3175" b="0"/>
            <wp:docPr id="1" name="Рисунок 1" descr="https://sun9-53.userapi.com/impg/mvFvxnHcNVVUlKMhItKyZchQrpdMugVknBifyg/HAdtsyPdsYg.jpg?size=656x369&amp;quality=96&amp;sign=d05cd478fba34376bb14461c72c9c6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mvFvxnHcNVVUlKMhItKyZchQrpdMugVknBifyg/HAdtsyPdsYg.jpg?size=656x369&amp;quality=96&amp;sign=d05cd478fba34376bb14461c72c9c6b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4D99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Минэкономразвития подвело итоги реализации национального проекта «Малое и среднее предпринимательство» за первое полугодие 2023 года.</w:t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В настоящий момент предприниматели активно пользуются программами льготных кредитов, поручительств и грантами.</w:t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«Предпринимателям доступен широкий спектр льготных финансовых продуктов, которые мы реализуем через банки и региональные </w:t>
      </w:r>
      <w:proofErr w:type="spell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микрофинансовые</w:t>
      </w:r>
      <w:proofErr w:type="spell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и гарантийные организации. Всего за первое полугодие было заключено более 53 тыс. договоров на общую сумму более 770 </w:t>
      </w:r>
      <w:proofErr w:type="spellStart"/>
      <w:proofErr w:type="gram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spellEnd"/>
      <w:proofErr w:type="gram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рублей», — рассказал первый вице-премьер Андрей Белоусов</w:t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Так, по программе 1764 заключено более 18,5 тыс. кредитных договоров более чем на 340 </w:t>
      </w:r>
      <w:proofErr w:type="spell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spell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рублей; по программе стимулирования кредитования (ПСК) – 3,3 тыс. кредитных договоров на общую сумму более 130 </w:t>
      </w:r>
      <w:proofErr w:type="spell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spell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рублей; по совмещённой программе </w:t>
      </w:r>
      <w:proofErr w:type="spell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инвесткредитования</w:t>
      </w:r>
      <w:proofErr w:type="spell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(1764+ПСК) – 611 договоров почти на 72 </w:t>
      </w:r>
      <w:proofErr w:type="spellStart"/>
      <w:proofErr w:type="gram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spellEnd"/>
      <w:proofErr w:type="gram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рублей, отметила заместитель Министра экономического развития Татьяна </w:t>
      </w:r>
      <w:proofErr w:type="spell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Илюшникова</w:t>
      </w:r>
      <w:proofErr w:type="spell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</w:t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Зонтичным механизмом предприниматели воспользовались 7,3 тыс. раз, объём поддержки составил 99 </w:t>
      </w:r>
      <w:proofErr w:type="spellStart"/>
      <w:proofErr w:type="gram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spellEnd"/>
      <w:proofErr w:type="gram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рублей.</w:t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lastRenderedPageBreak/>
        <w:br/>
        <w:t xml:space="preserve">Региональные гарантийные организации выступили поручителем для порядка 12 тыс. субъектов МСП, благодаря чему бизнес получил более 215 </w:t>
      </w:r>
      <w:proofErr w:type="spellStart"/>
      <w:proofErr w:type="gram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spellEnd"/>
      <w:proofErr w:type="gram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 кредитных средств. 11 тыс. компаний воспользовались </w:t>
      </w:r>
      <w:proofErr w:type="spell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микрозаймами</w:t>
      </w:r>
      <w:proofErr w:type="spell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государственных МФО, сумма поддержки – 25,6 </w:t>
      </w:r>
      <w:proofErr w:type="spellStart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spellEnd"/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рублей.</w:t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D84D99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Динамично развивается и сотрудничество между крупными заказчиками и МСП: за первое полугодие в закупках приняли участие 123 тыс. поставщиков.</w:t>
      </w:r>
    </w:p>
    <w:p w:rsidR="008254F2" w:rsidRPr="00D84D99" w:rsidRDefault="008254F2" w:rsidP="00D84D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54F2" w:rsidRPr="00D84D99" w:rsidSect="0082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D99"/>
    <w:rsid w:val="008254F2"/>
    <w:rsid w:val="00D8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F2"/>
  </w:style>
  <w:style w:type="paragraph" w:styleId="1">
    <w:name w:val="heading 1"/>
    <w:basedOn w:val="a"/>
    <w:link w:val="10"/>
    <w:uiPriority w:val="9"/>
    <w:qFormat/>
    <w:rsid w:val="00D84D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D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2023-07-24T13:27:00Z</dcterms:created>
  <dcterms:modified xsi:type="dcterms:W3CDTF">2023-07-24T13:27:00Z</dcterms:modified>
</cp:coreProperties>
</file>