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52" w:rsidRPr="00417C52" w:rsidRDefault="00417C52" w:rsidP="00417C52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417C5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Индекс промышленного производства в Курской области составил 110,7%</w:t>
      </w:r>
    </w:p>
    <w:p w:rsidR="00417C52" w:rsidRPr="00417C52" w:rsidRDefault="00417C52" w:rsidP="00417C52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Экономика\Desktop\gSw0olJW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gSw0olJWA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C52" w:rsidRDefault="00417C52" w:rsidP="00417C5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</w:p>
    <w:p w:rsidR="00417C52" w:rsidRPr="00417C52" w:rsidRDefault="00417C52" w:rsidP="00417C5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Индекс промышленного производства в Курской области за 10 месяцев составил 110,7%, при этом по стране - 103,5%. Таких результатов удалось </w:t>
      </w:r>
      <w:proofErr w:type="gram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добиться</w:t>
      </w:r>
      <w:proofErr w:type="gram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в том числе за счет роста в обработке, где объем производства увеличился более чем на 18,5%.</w:t>
      </w:r>
    </w:p>
    <w:p w:rsidR="00417C52" w:rsidRPr="00417C52" w:rsidRDefault="00417C52" w:rsidP="00417C5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Наибольший вклад в достижение таких показателей внесли предприятия группы «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Готэк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», КЭАЗ, «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Авиаавтоматика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» им. В.В. Тарасова», Курский аккумуляторный завод, «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Электроагрегат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», «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Рудоавтоматика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им. В.В. 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Сафошина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», «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Вагонмаш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», «Маяк», предприятия пищевой и перерабатывающей промышленности, стройиндустрии и другие.</w:t>
      </w:r>
    </w:p>
    <w:p w:rsidR="00417C52" w:rsidRPr="00417C52" w:rsidRDefault="00417C52" w:rsidP="00417C5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«Помогает развиваться господдержка: мы ежегодно участвуем в конкурсах госпрограмм по промышленности, которые проводит 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Минпромторг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России, и получаем весомое федеральное финансирование. В рамках единой региональной субсидии наша область за 3 года получила около 157 </w:t>
      </w:r>
      <w:proofErr w:type="spellStart"/>
      <w:proofErr w:type="gram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proofErr w:type="gram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 на поддержку обработки. Кроме того, в 2023-м предприятия привлекли более 900 </w:t>
      </w:r>
      <w:proofErr w:type="spellStart"/>
      <w:proofErr w:type="gram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proofErr w:type="gram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 федеральных субсидий», - отметил министр промышленности, торговли и предпринимательства региона Михаил Аксенов.</w:t>
      </w:r>
    </w:p>
    <w:p w:rsidR="00417C52" w:rsidRPr="00417C52" w:rsidRDefault="00417C52" w:rsidP="00417C5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 xml:space="preserve">Фонд развития промышленности Курской области оказывал поддержку в виде льготных займов, компенсировал процентные ставки по кредитам. В 2023 году из регионального бюджета на 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докапитализацию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фонда направлено 133 </w:t>
      </w:r>
      <w:proofErr w:type="spellStart"/>
      <w:proofErr w:type="gram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proofErr w:type="gram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рублей, при этом его общая капитализация составила 420 </w:t>
      </w:r>
      <w:proofErr w:type="spell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млн</w:t>
      </w:r>
      <w:proofErr w:type="spell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рублей. Федеральный фонд предоставил льготное финансирование 4 предприятиям Курской области на общую сумму около 2,4 </w:t>
      </w:r>
      <w:proofErr w:type="spellStart"/>
      <w:proofErr w:type="gramStart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млрд</w:t>
      </w:r>
      <w:proofErr w:type="spellEnd"/>
      <w:proofErr w:type="gramEnd"/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 рублей.</w:t>
      </w:r>
    </w:p>
    <w:p w:rsidR="00417C52" w:rsidRPr="00417C52" w:rsidRDefault="00417C52" w:rsidP="00417C52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417C52">
        <w:rPr>
          <w:rFonts w:ascii="Times New Roman" w:eastAsia="Times New Roman" w:hAnsi="Times New Roman" w:cs="Times New Roman"/>
          <w:color w:val="474747"/>
          <w:sz w:val="28"/>
          <w:szCs w:val="28"/>
        </w:rPr>
        <w:t>В регионе продолжается реализация около 20 крупных инвестиционных проектов, расширяется кооперация – внутриобластная, межрегиональная и международная, особенно активно – с предприятиями Республики Беларусь.</w:t>
      </w:r>
    </w:p>
    <w:p w:rsidR="008B03B1" w:rsidRPr="00417C52" w:rsidRDefault="008B03B1" w:rsidP="00417C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417C5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C52"/>
    <w:rsid w:val="002A2C7A"/>
    <w:rsid w:val="00417C52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417C5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C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17C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17C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7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6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2023-12-11T07:35:00Z</dcterms:created>
  <dcterms:modified xsi:type="dcterms:W3CDTF">2023-12-11T07:35:00Z</dcterms:modified>
</cp:coreProperties>
</file>