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C9" w:rsidRPr="00266AC9" w:rsidRDefault="00266AC9" w:rsidP="00266AC9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66AC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Татьяна </w:t>
      </w:r>
      <w:proofErr w:type="spellStart"/>
      <w:r w:rsidRPr="00266AC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Илюшникова</w:t>
      </w:r>
      <w:proofErr w:type="spellEnd"/>
      <w:r w:rsidRPr="00266AC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: в России создан каталог лучших практик </w:t>
      </w:r>
      <w:proofErr w:type="spellStart"/>
      <w:r w:rsidRPr="00266AC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соцпредпринимательства</w:t>
      </w:r>
      <w:proofErr w:type="spellEnd"/>
    </w:p>
    <w:p w:rsidR="00266AC9" w:rsidRPr="00266AC9" w:rsidRDefault="00266AC9" w:rsidP="00266AC9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353050" cy="3581400"/>
            <wp:effectExtent l="19050" t="0" r="0" b="0"/>
            <wp:docPr id="4" name="Рисунок 4" descr="C:\Users\Экономика\Deskto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6AC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66AC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В каталог лучших практик социального предпринимательства вошли проекты межрегионального этапа Всероссийского конкурса «Мой добрый бизнес». </w:t>
      </w:r>
      <w:hyperlink r:id="rId6" w:tgtFrame="_blank" w:history="1">
        <w:r w:rsidRPr="00266AC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На сайте конкурса</w:t>
        </w:r>
      </w:hyperlink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 содержится информация о почти 900 проектах разной направленности.</w:t>
      </w: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«Одна из задач конкурса «Мой добрый бизнес» – выявить лучшие практики социального предпринимательства. Создание каталога, в который вошли решения, получившие высокую оценку 480 экспертов из разных сфер, – </w:t>
      </w:r>
      <w:proofErr w:type="gram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логичное продолжение</w:t>
      </w:r>
      <w:proofErr w:type="gram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этой истории. В 2023 году мы собрали более 2 тысяч заявок из 85 регионов страны. Рост активности участников конкурса составил 30% по сравнению с предыдущим годом. Интересно, что в Год семьи мы наблюдаем тенденции, связанные с этой тематикой: на 40% выросло число участников среди женщин-предпринимателей, больше всего заявок, которые прошли в следующий этап, связано со сферой образования и воспитания детей. Регионы с наибольшим числом заявок – это Москва, Нижегородская и </w:t>
      </w: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Оренбургская области», — рассказала заместитель министра экономического развития </w:t>
      </w:r>
      <w:proofErr w:type="spell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РФТатьяна</w:t>
      </w:r>
      <w:proofErr w:type="spell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266AC9" w:rsidRPr="00266AC9" w:rsidRDefault="00266AC9" w:rsidP="00266A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В межрегиональный этап больше всего проектов было допущено по следующим номинациям:</w:t>
      </w:r>
    </w:p>
    <w:p w:rsidR="00266AC9" w:rsidRPr="00266AC9" w:rsidRDefault="00266AC9" w:rsidP="00266AC9">
      <w:pPr>
        <w:numPr>
          <w:ilvl w:val="0"/>
          <w:numId w:val="1"/>
        </w:numPr>
        <w:spacing w:after="300"/>
        <w:ind w:left="0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Лучший прое</w:t>
      </w:r>
      <w:proofErr w:type="gram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кт в сф</w:t>
      </w:r>
      <w:proofErr w:type="gram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ере дополнительного образования и воспитания детей» – 174 проекта;</w:t>
      </w:r>
    </w:p>
    <w:p w:rsidR="00266AC9" w:rsidRPr="00266AC9" w:rsidRDefault="00266AC9" w:rsidP="00266AC9">
      <w:pPr>
        <w:numPr>
          <w:ilvl w:val="0"/>
          <w:numId w:val="1"/>
        </w:numPr>
        <w:spacing w:after="300"/>
        <w:ind w:left="0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Лучший прое</w:t>
      </w:r>
      <w:proofErr w:type="gram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кт в сф</w:t>
      </w:r>
      <w:proofErr w:type="gram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ере здорового образа жизни, физической культуры и спорта – 143 проекта;</w:t>
      </w:r>
    </w:p>
    <w:p w:rsidR="00266AC9" w:rsidRPr="00266AC9" w:rsidRDefault="00266AC9" w:rsidP="00266AC9">
      <w:pPr>
        <w:numPr>
          <w:ilvl w:val="0"/>
          <w:numId w:val="1"/>
        </w:numPr>
        <w:spacing w:after="300"/>
        <w:ind w:left="0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Лучший прое</w:t>
      </w:r>
      <w:proofErr w:type="gram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кт в сф</w:t>
      </w:r>
      <w:proofErr w:type="gram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ере поддержки и реабилитации людей с ограниченными возможностями здоровья – 133 проекта.</w:t>
      </w:r>
    </w:p>
    <w:p w:rsidR="00266AC9" w:rsidRPr="00266AC9" w:rsidRDefault="00266AC9" w:rsidP="00266A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«Увеличение количества и качества заявок говорит об эффективной работе специалистов и кураторов, поддерживающих конкурс в регионах. Это говорит не только о расширении предпринимательской сферы, но и о вовлечении бизнеса в социально-значимые и общественно-полезные инициативы по всей стране. В следующий этап прошли 878 проектов – победителей регионального этапа от каждого региона во всех представленных номинациях», — отметила исполнительный директор фонда «Наше будущее» Юлия </w:t>
      </w:r>
      <w:proofErr w:type="spellStart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Жигулина</w:t>
      </w:r>
      <w:proofErr w:type="spellEnd"/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266AC9" w:rsidRPr="00266AC9" w:rsidRDefault="00266AC9" w:rsidP="00266A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Межрегиональный этап продлится до 1 апреля 2024 года. Его участниками станут победители региональных этапов в каждой из восьми основных и одной специальной номинации. Проекты пройдут еще один этап заочной оценки на платформе конкурса. Ее проведут победители конкурса прошлого сезона и межрегиональные эксперты в сфере МСП, а также сфере развития НКО, имеющие опыт экспертной оценки.</w:t>
      </w:r>
    </w:p>
    <w:p w:rsidR="00266AC9" w:rsidRPr="00266AC9" w:rsidRDefault="00266AC9" w:rsidP="00266A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66AC9">
        <w:rPr>
          <w:rFonts w:ascii="Times New Roman" w:eastAsia="Times New Roman" w:hAnsi="Times New Roman" w:cs="Times New Roman"/>
          <w:color w:val="2C2A29"/>
          <w:sz w:val="28"/>
          <w:szCs w:val="28"/>
        </w:rPr>
        <w:t>Заключительный Федеральный этап состоится с 1 апреля по 31 мая 2024 года. Организатором конкурса является Минэкономразвития РФ, оператор – Государственный университет управления.</w:t>
      </w:r>
    </w:p>
    <w:p w:rsidR="008B03B1" w:rsidRPr="00266AC9" w:rsidRDefault="008B03B1" w:rsidP="00266A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266AC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1708"/>
    <w:multiLevelType w:val="multilevel"/>
    <w:tmpl w:val="EFEC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AC9"/>
    <w:rsid w:val="00266AC9"/>
    <w:rsid w:val="008B03B1"/>
    <w:rsid w:val="00BD42B2"/>
    <w:rsid w:val="00DC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66A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6A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6A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66A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ybusiness2024.guu.ru/katalog-zayav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2024-02-13T09:48:00Z</dcterms:created>
  <dcterms:modified xsi:type="dcterms:W3CDTF">2024-02-13T09:48:00Z</dcterms:modified>
</cp:coreProperties>
</file>