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7FB91" w14:textId="77777777" w:rsidR="001E601E" w:rsidRPr="001E601E" w:rsidRDefault="001E601E" w:rsidP="001E601E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E601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Правительство Москвы запустило конкурс на лучший проект оформления коммерческого объекта</w:t>
      </w:r>
    </w:p>
    <w:p w14:paraId="090AE7A2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t>Цель конкурса – выявить лучшие дизайнерские проекты для оформления городского пространства.</w:t>
      </w:r>
    </w:p>
    <w:p w14:paraId="0264F25E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75B2C2AF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58F84B5A" wp14:editId="486F98D5">
            <wp:extent cx="4876800" cy="3257550"/>
            <wp:effectExtent l="0" t="0" r="0" b="0"/>
            <wp:docPr id="1" name="Рисунок 1" descr="Правительство Москвы запустило конкурс на лучший проект оформления коммерческого объек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тельство Москвы запустило конкурс на лучший проект оформления коммерческого объекта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65E398CD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К участию приглашают специалистов и трудовые коллективы в сфере урбанистики и дизайна, студентов архитектурных вузов, а также активных граждан, у которых есть идеи по инновационному оформлению города. Принять участие в конкурсе и представить свой проект оформления может любой гражданин РФ старше 18 лет.</w:t>
      </w:r>
    </w:p>
    <w:p w14:paraId="6769F086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  <w:t>Запланированы три номинации. В номинации «Зеленая архитектура» оценят проекты, способствующие сохранению окружающей среды, рациональному использованию ресурсов, созданию здоровых городских пространств.</w:t>
      </w:r>
    </w:p>
    <w:p w14:paraId="663D2EC7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  <w:t>Во вторую номинацию — «Функциональный экстерьер» — войдут проекты, направленные на улучшение облика витрин и фасадов нежилых зданий, а также на создание уникального дизайн-кода города в сочетании с внутренним интерьером.</w:t>
      </w:r>
    </w:p>
    <w:p w14:paraId="543869EC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  <w:t>Третья номинация — «Облик будущего» — включит проекты, в которых используются инновационные материалы и формируется образ Москвы будущего.</w:t>
      </w:r>
    </w:p>
    <w:p w14:paraId="13447694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  <w:t>Победителям вручат премию в размере трех миллионов рублей, серебряным призерам — двух миллионов рублей, а участникам, занявшим третье место, —одного миллиона рублей.</w:t>
      </w:r>
    </w:p>
    <w:p w14:paraId="4485B833" w14:textId="77777777" w:rsidR="001E601E" w:rsidRPr="001E601E" w:rsidRDefault="001E601E" w:rsidP="001E601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E601E">
        <w:rPr>
          <w:rFonts w:ascii="Arial" w:eastAsia="Times New Roman" w:hAnsi="Arial" w:cs="Arial"/>
          <w:color w:val="2C2A29"/>
          <w:sz w:val="27"/>
          <w:szCs w:val="27"/>
        </w:rPr>
        <w:br/>
        <w:t>Заявки принимаются в электронном виде </w:t>
      </w:r>
      <w:hyperlink r:id="rId5" w:tgtFrame="_blank" w:history="1">
        <w:r w:rsidRPr="001E601E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на сайте Московского инновационного кластера </w:t>
        </w:r>
      </w:hyperlink>
      <w:r w:rsidRPr="001E601E">
        <w:rPr>
          <w:rFonts w:ascii="Arial" w:eastAsia="Times New Roman" w:hAnsi="Arial" w:cs="Arial"/>
          <w:color w:val="2C2A29"/>
          <w:sz w:val="27"/>
          <w:szCs w:val="27"/>
        </w:rPr>
        <w:t>до 20 августа.</w:t>
      </w:r>
    </w:p>
    <w:p w14:paraId="7111E0CE" w14:textId="77777777" w:rsidR="00715874" w:rsidRPr="00955C33" w:rsidRDefault="00715874" w:rsidP="00955C33">
      <w:bookmarkStart w:id="0" w:name="_GoBack"/>
      <w:bookmarkEnd w:id="0"/>
    </w:p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1E601E"/>
    <w:rsid w:val="003B75F0"/>
    <w:rsid w:val="005E3747"/>
    <w:rsid w:val="00615784"/>
    <w:rsid w:val="00715874"/>
    <w:rsid w:val="007F1AA3"/>
    <w:rsid w:val="009323B4"/>
    <w:rsid w:val="00955C33"/>
    <w:rsid w:val="00A2342F"/>
    <w:rsid w:val="00AB20AA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.moscow/urban/contes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2024-08-02T09:44:00Z</dcterms:created>
  <dcterms:modified xsi:type="dcterms:W3CDTF">2024-08-02T09:44:00Z</dcterms:modified>
</cp:coreProperties>
</file>