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72" w:type="pct"/>
        <w:shd w:val="clear" w:color="auto" w:fill="F5F5DC"/>
        <w:tblCellMar>
          <w:left w:w="0" w:type="dxa"/>
          <w:right w:w="0" w:type="dxa"/>
        </w:tblCellMar>
        <w:tblLook w:val="04A0"/>
      </w:tblPr>
      <w:tblGrid>
        <w:gridCol w:w="95"/>
        <w:gridCol w:w="7700"/>
        <w:gridCol w:w="1233"/>
        <w:gridCol w:w="7362"/>
      </w:tblGrid>
      <w:tr w:rsidR="00CB7CE8" w:rsidRPr="00CB7CE8" w:rsidTr="00CB7CE8">
        <w:tc>
          <w:tcPr>
            <w:tcW w:w="2378" w:type="pct"/>
            <w:gridSpan w:val="2"/>
            <w:shd w:val="clear" w:color="auto" w:fill="F5F5DC"/>
            <w:tcMar>
              <w:top w:w="79" w:type="dxa"/>
              <w:left w:w="95" w:type="dxa"/>
              <w:bottom w:w="0" w:type="dxa"/>
              <w:right w:w="0" w:type="dxa"/>
            </w:tcMar>
            <w:hideMark/>
          </w:tcPr>
          <w:p w:rsidR="00CB7CE8" w:rsidRDefault="00CB7CE8" w:rsidP="00CB7CE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              </w:t>
            </w:r>
            <w:r w:rsidRPr="00CB7CE8"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Памятка работодателю по легализации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    </w:t>
            </w:r>
          </w:p>
          <w:p w:rsidR="00CB7CE8" w:rsidRDefault="00CB7CE8" w:rsidP="00CB7CE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                   </w:t>
            </w:r>
            <w:r w:rsidRPr="00CB7CE8"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трудовых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о</w:t>
            </w:r>
            <w:r w:rsidRPr="00CB7CE8"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тношений и негативных </w:t>
            </w:r>
          </w:p>
          <w:p w:rsidR="00CB7CE8" w:rsidRPr="00CB7CE8" w:rsidRDefault="00CB7CE8" w:rsidP="00CB7CE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               </w:t>
            </w:r>
            <w:proofErr w:type="gramStart"/>
            <w:r w:rsidRPr="00CB7CE8"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>последствиях</w:t>
            </w:r>
            <w:proofErr w:type="gramEnd"/>
            <w:r w:rsidRPr="00CB7CE8"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  <w:t xml:space="preserve"> неформальной занятости</w:t>
            </w:r>
          </w:p>
          <w:p w:rsidR="00CB7CE8" w:rsidRPr="00CB7CE8" w:rsidRDefault="00CB7CE8" w:rsidP="00CB7CE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E34000"/>
                <w:sz w:val="32"/>
                <w:szCs w:val="32"/>
                <w:lang w:bidi="ar-SA"/>
              </w:rPr>
            </w:pPr>
          </w:p>
        </w:tc>
        <w:tc>
          <w:tcPr>
            <w:tcW w:w="376" w:type="pct"/>
            <w:shd w:val="clear" w:color="auto" w:fill="F5F5DC"/>
            <w:tcMar>
              <w:top w:w="79" w:type="dxa"/>
              <w:left w:w="0" w:type="dxa"/>
              <w:bottom w:w="0" w:type="dxa"/>
              <w:right w:w="0" w:type="dxa"/>
            </w:tcMar>
            <w:hideMark/>
          </w:tcPr>
          <w:p w:rsidR="00CB7CE8" w:rsidRPr="00CB7CE8" w:rsidRDefault="00CB7CE8" w:rsidP="00CB7CE8">
            <w:pPr>
              <w:widowControl/>
              <w:jc w:val="right"/>
              <w:rPr>
                <w:rFonts w:ascii="Tahoma" w:eastAsia="Times New Roman" w:hAnsi="Tahoma" w:cs="Tahoma"/>
                <w:color w:val="727272"/>
                <w:sz w:val="17"/>
                <w:szCs w:val="17"/>
                <w:lang w:bidi="ar-SA"/>
              </w:rPr>
            </w:pPr>
          </w:p>
        </w:tc>
        <w:tc>
          <w:tcPr>
            <w:tcW w:w="2247" w:type="pct"/>
            <w:shd w:val="clear" w:color="auto" w:fill="F5F5DC"/>
            <w:vAlign w:val="center"/>
            <w:hideMark/>
          </w:tcPr>
          <w:p w:rsidR="00CB7CE8" w:rsidRPr="00CB7CE8" w:rsidRDefault="00CB7CE8" w:rsidP="00CB7CE8">
            <w:pPr>
              <w:widowControl/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bidi="ar-SA"/>
              </w:rPr>
            </w:pPr>
          </w:p>
        </w:tc>
      </w:tr>
      <w:tr w:rsidR="00CB7CE8" w:rsidRPr="00CB7CE8" w:rsidTr="00CB7CE8">
        <w:trPr>
          <w:gridAfter w:val="1"/>
          <w:wAfter w:w="2247" w:type="pct"/>
        </w:trPr>
        <w:tc>
          <w:tcPr>
            <w:tcW w:w="29" w:type="pct"/>
            <w:shd w:val="clear" w:color="auto" w:fill="F5F5DC"/>
            <w:vAlign w:val="center"/>
            <w:hideMark/>
          </w:tcPr>
          <w:p w:rsidR="00CB7CE8" w:rsidRPr="00CB7CE8" w:rsidRDefault="00CB7CE8" w:rsidP="00CB7CE8">
            <w:pPr>
              <w:widowControl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.95pt;height:3.95pt"/>
              </w:pict>
            </w:r>
          </w:p>
        </w:tc>
        <w:tc>
          <w:tcPr>
            <w:tcW w:w="2724" w:type="pct"/>
            <w:gridSpan w:val="2"/>
            <w:shd w:val="clear" w:color="auto" w:fill="F5F5DC"/>
            <w:hideMark/>
          </w:tcPr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b/>
                <w:bCs/>
                <w:color w:val="696969"/>
                <w:lang w:bidi="ar-SA"/>
              </w:rPr>
              <w:t>Обращаем Ваше внимание на необходимость неукоснительного соблюдения действующего трудового законодательства при трудоустройстве наемных работников, в том числе в части оформления трудовых отношений, оплаты труда и охраны труда.</w:t>
            </w:r>
          </w:p>
          <w:p w:rsid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  <w:t>«Плюсы» официальных трудовых отношений</w:t>
            </w:r>
          </w:p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</w:pPr>
          </w:p>
          <w:p w:rsidR="00CB7CE8" w:rsidRPr="00CB7CE8" w:rsidRDefault="00CB7CE8" w:rsidP="00CB7CE8">
            <w:pPr>
              <w:widowControl/>
              <w:numPr>
                <w:ilvl w:val="0"/>
                <w:numId w:val="1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Хорошая деловая репутация, положительный имидж социально ответственного работодателя. Возможность участия в программах господдержки, в том числе получения грантов, компенсации банковской ставки рефинансирования.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1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Право требовать от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1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Возможность привлечь к материальной и дисциплинарной ответственности в порядке, установленном ТК РФ и иными нормативными актами работников, виновных в нарушении трудового законодательства и иных актов, содержащих нормы трудового права.</w:t>
            </w:r>
          </w:p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Трудовые отношения возникают между работником и работодателем на основании трудового договора, заключение которого является обязательным условием при приеме на работу (ст. 16 ТК РФ).</w:t>
            </w:r>
          </w:p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Трудовой договор заключается в письменной форме в двух экземплярах, каждый из которых подписывается работником и работодателем. Заключение гражданско-правовых договоров, фактически регулирующих трудовые отношения между работником и работодателем, не допускается (</w:t>
            </w:r>
            <w:proofErr w:type="gramStart"/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ч</w:t>
            </w:r>
            <w:proofErr w:type="gramEnd"/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.2 ст. 15 ТК РФ).</w:t>
            </w:r>
          </w:p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Основные права и обязанности работника и работодателя по трудовому договору определены в ст. 21, 22 ТК РФ.</w:t>
            </w:r>
          </w:p>
          <w:p w:rsid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  <w:t>«Минусы» неформальной занятости – отсутствие официального трудоустройства работников</w:t>
            </w:r>
          </w:p>
          <w:p w:rsidR="00CB7CE8" w:rsidRPr="00CB7CE8" w:rsidRDefault="00CB7CE8" w:rsidP="00CB7CE8">
            <w:pPr>
              <w:widowControl/>
              <w:spacing w:after="96"/>
              <w:ind w:firstLine="400"/>
              <w:jc w:val="both"/>
              <w:rPr>
                <w:rFonts w:ascii="Times New Roman" w:eastAsia="Times New Roman" w:hAnsi="Times New Roman" w:cs="Times New Roman"/>
                <w:b/>
                <w:color w:val="696969"/>
                <w:lang w:bidi="ar-SA"/>
              </w:rPr>
            </w:pP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Риск проведения проверок со стороны контрольно-надзорных органов, прокуратуры.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 xml:space="preserve">Административные штрафы до 100 тысяч рублей, при повторном нарушении – до 200 тысяч рублей, дисквалификация должностного лица на срок от 1 года до 3 лет (ст. 5.27 </w:t>
            </w:r>
            <w:proofErr w:type="spellStart"/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КоАП</w:t>
            </w:r>
            <w:proofErr w:type="spellEnd"/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 xml:space="preserve"> РФ).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Отсутствие возможности привлечь работника к ответственности за несоблюдение трудовой дисциплины, обеспечить сохранность материальных ценностей и т.п.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Нарушение влечет ответственность в соответствии со ст.122 Налогового кодекса РФ, уголовную ответственность по ст.145.1 Уголовного кодекса РФ.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Отсутствие возможности принять участие в государственных программах, государственной поддержке.</w:t>
            </w:r>
          </w:p>
          <w:p w:rsidR="00CB7CE8" w:rsidRPr="00CB7CE8" w:rsidRDefault="00CB7CE8" w:rsidP="00CB7CE8">
            <w:pPr>
              <w:widowControl/>
              <w:numPr>
                <w:ilvl w:val="0"/>
                <w:numId w:val="2"/>
              </w:numPr>
              <w:ind w:left="480"/>
              <w:jc w:val="both"/>
              <w:rPr>
                <w:rFonts w:ascii="Times New Roman" w:eastAsia="Times New Roman" w:hAnsi="Times New Roman" w:cs="Times New Roman"/>
                <w:color w:val="696969"/>
                <w:lang w:bidi="ar-SA"/>
              </w:rPr>
            </w:pPr>
            <w:r w:rsidRPr="00CB7CE8">
              <w:rPr>
                <w:rFonts w:ascii="Times New Roman" w:eastAsia="Times New Roman" w:hAnsi="Times New Roman" w:cs="Times New Roman"/>
                <w:color w:val="696969"/>
                <w:lang w:bidi="ar-SA"/>
              </w:rPr>
              <w:t>Отсутствие возможности получать займы, кредиты и др.</w:t>
            </w:r>
          </w:p>
        </w:tc>
      </w:tr>
    </w:tbl>
    <w:p w:rsidR="008B03B1" w:rsidRPr="00CB7CE8" w:rsidRDefault="008B03B1" w:rsidP="00CB7CE8">
      <w:pPr>
        <w:jc w:val="both"/>
        <w:rPr>
          <w:rFonts w:ascii="Times New Roman" w:hAnsi="Times New Roman" w:cs="Times New Roman"/>
        </w:rPr>
      </w:pPr>
    </w:p>
    <w:sectPr w:rsidR="008B03B1" w:rsidRPr="00CB7CE8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310B"/>
    <w:multiLevelType w:val="multilevel"/>
    <w:tmpl w:val="431C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0F5EF7"/>
    <w:multiLevelType w:val="multilevel"/>
    <w:tmpl w:val="B43C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20408"/>
    <w:rsid w:val="0097018D"/>
    <w:rsid w:val="00C55341"/>
    <w:rsid w:val="00CB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CB7CE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B7C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CB7C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2023-11-02T07:09:00Z</dcterms:created>
  <dcterms:modified xsi:type="dcterms:W3CDTF">2023-11-02T07:09:00Z</dcterms:modified>
</cp:coreProperties>
</file>