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855" w:rsidRDefault="00F12855" w:rsidP="00F12855">
      <w:pPr>
        <w:pStyle w:val="1"/>
        <w:spacing w:before="0" w:beforeAutospacing="0" w:after="675" w:afterAutospacing="0"/>
        <w:rPr>
          <w:rFonts w:ascii="Arial" w:hAnsi="Arial" w:cs="Arial"/>
          <w:color w:val="2C2A29"/>
          <w:sz w:val="60"/>
          <w:szCs w:val="60"/>
        </w:rPr>
      </w:pPr>
      <w:r>
        <w:rPr>
          <w:rFonts w:ascii="Arial" w:hAnsi="Arial" w:cs="Arial"/>
          <w:color w:val="2C2A29"/>
          <w:sz w:val="60"/>
          <w:szCs w:val="60"/>
        </w:rPr>
        <w:t>«</w:t>
      </w:r>
      <w:proofErr w:type="spellStart"/>
      <w:r>
        <w:rPr>
          <w:rFonts w:ascii="Arial" w:hAnsi="Arial" w:cs="Arial"/>
          <w:color w:val="2C2A29"/>
          <w:sz w:val="60"/>
          <w:szCs w:val="60"/>
        </w:rPr>
        <w:t>Стартап</w:t>
      </w:r>
      <w:proofErr w:type="spellEnd"/>
      <w:r>
        <w:rPr>
          <w:rFonts w:ascii="Arial" w:hAnsi="Arial" w:cs="Arial"/>
          <w:color w:val="2C2A29"/>
          <w:sz w:val="60"/>
          <w:szCs w:val="60"/>
        </w:rPr>
        <w:t xml:space="preserve"> как диплом»</w:t>
      </w:r>
    </w:p>
    <w:p w:rsidR="00F12855" w:rsidRDefault="00F12855" w:rsidP="00F12855">
      <w:pPr>
        <w:rPr>
          <w:rFonts w:ascii="Arial" w:hAnsi="Arial" w:cs="Arial"/>
          <w:color w:val="2C2A29"/>
          <w:sz w:val="27"/>
          <w:szCs w:val="27"/>
        </w:rPr>
      </w:pPr>
      <w:r>
        <w:rPr>
          <w:rFonts w:ascii="Arial" w:hAnsi="Arial" w:cs="Arial"/>
          <w:color w:val="2C2A29"/>
          <w:sz w:val="27"/>
          <w:szCs w:val="27"/>
        </w:rPr>
        <w:t>В таком формате состоялась защита студенческих выпускных квалификационных работ в </w:t>
      </w:r>
      <w:hyperlink r:id="rId4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Курском государственном аграрном университете</w:t>
        </w:r>
      </w:hyperlink>
      <w:r>
        <w:rPr>
          <w:rFonts w:ascii="Arial" w:hAnsi="Arial" w:cs="Arial"/>
          <w:color w:val="2C2A29"/>
          <w:sz w:val="27"/>
          <w:szCs w:val="27"/>
        </w:rPr>
        <w:t>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noProof/>
          <w:color w:val="2C2A29"/>
          <w:sz w:val="27"/>
          <w:szCs w:val="27"/>
        </w:rPr>
        <w:drawing>
          <wp:inline distT="0" distB="0" distL="0" distR="0">
            <wp:extent cx="4876800" cy="3248025"/>
            <wp:effectExtent l="19050" t="0" r="0" b="0"/>
            <wp:docPr id="1" name="Рисунок 1" descr="https://sun9-20.userapi.com/impg/YvnQROt9hsM8z8jg6YLzHxHfFX3HM3tp3siTLQ/sMCG7_ddkkw.jpg?size=1280x853&amp;quality=95&amp;sign=28ec840f75a890959c409b003319d4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YvnQROt9hsM8z8jg6YLzHxHfFX3HM3tp3siTLQ/sMCG7_ddkkw.jpg?size=1280x853&amp;quality=95&amp;sign=28ec840f75a890959c409b003319d48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noProof/>
          <w:color w:val="2C2A29"/>
          <w:sz w:val="27"/>
          <w:szCs w:val="27"/>
        </w:rPr>
        <w:drawing>
          <wp:inline distT="0" distB="0" distL="0" distR="0">
            <wp:extent cx="4876800" cy="3248025"/>
            <wp:effectExtent l="19050" t="0" r="0" b="0"/>
            <wp:docPr id="2" name="Рисунок 2" descr="https://sun9-60.userapi.com/impg/qTPz0c53CkU2zSJQBCSizalFZMsVhn2uYY7Azg/6kTUPyzCqTY.jpg?size=1280x853&amp;quality=95&amp;sign=714c6157f32cae4b755ca73472eb19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0.userapi.com/impg/qTPz0c53CkU2zSJQBCSizalFZMsVhn2uYY7Azg/6kTUPyzCqTY.jpg?size=1280x853&amp;quality=95&amp;sign=714c6157f32cae4b755ca73472eb198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4876800" cy="3657600"/>
            <wp:effectExtent l="19050" t="0" r="0" b="0"/>
            <wp:docPr id="3" name="Рисунок 3" descr="https://sun9-64.userapi.com/impg/F_Log1KCG09Mj5YADFZwr4eKPWwJlsrPb8we5A/OyHk8DFx9SM.jpg?size=1280x960&amp;quality=95&amp;sign=e952a4e9dd3f4f4fb67709500ee9dd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4.userapi.com/impg/F_Log1KCG09Mj5YADFZwr4eKPWwJlsrPb8we5A/OyHk8DFx9SM.jpg?size=1280x960&amp;quality=95&amp;sign=e952a4e9dd3f4f4fb67709500ee9ddda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 Проект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пилотный</w:t>
      </w:r>
      <w:proofErr w:type="spellEnd"/>
      <w:r>
        <w:rPr>
          <w:rFonts w:ascii="Arial" w:hAnsi="Arial" w:cs="Arial"/>
          <w:color w:val="2C2A29"/>
          <w:sz w:val="27"/>
          <w:szCs w:val="27"/>
        </w:rPr>
        <w:t>. Его специфика в том, что обучающиеся получают возможность совместить защиту выпускной работы с презентацией уникального продукта, идеи, технологии с целью дальнейшей коммерциализации.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Итогом продуктивной годовой работы стали яркие выступления студентов, в которых они представили необходимые расчёты и перспективы реализации </w:t>
      </w:r>
      <w:proofErr w:type="spellStart"/>
      <w:proofErr w:type="gramStart"/>
      <w:r>
        <w:rPr>
          <w:rFonts w:ascii="Arial" w:hAnsi="Arial" w:cs="Arial"/>
          <w:color w:val="2C2A29"/>
          <w:sz w:val="27"/>
          <w:szCs w:val="27"/>
        </w:rPr>
        <w:t>бизнес-идей</w:t>
      </w:r>
      <w:proofErr w:type="spellEnd"/>
      <w:proofErr w:type="gramEnd"/>
      <w:r>
        <w:rPr>
          <w:rFonts w:ascii="Arial" w:hAnsi="Arial" w:cs="Arial"/>
          <w:color w:val="2C2A29"/>
          <w:sz w:val="27"/>
          <w:szCs w:val="27"/>
        </w:rPr>
        <w:t>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 xml:space="preserve">Проекты оценивали ректор курского ГАУ Александр Вячеславович </w:t>
      </w:r>
      <w:proofErr w:type="spellStart"/>
      <w:r>
        <w:rPr>
          <w:rFonts w:ascii="Arial" w:hAnsi="Arial" w:cs="Arial"/>
          <w:color w:val="2C2A29"/>
          <w:sz w:val="27"/>
          <w:szCs w:val="27"/>
        </w:rPr>
        <w:t>Мусьял</w:t>
      </w:r>
      <w:proofErr w:type="spellEnd"/>
      <w:r>
        <w:rPr>
          <w:rFonts w:ascii="Arial" w:hAnsi="Arial" w:cs="Arial"/>
          <w:color w:val="2C2A29"/>
          <w:sz w:val="27"/>
          <w:szCs w:val="27"/>
        </w:rPr>
        <w:t>, проректоры, деканы факультетов, сотрудники вуза, представители бизнеса. В экзамене в качестве эксперта приняла участие руководитель Центра поддержки предпринимательства </w:t>
      </w:r>
      <w:hyperlink r:id="rId8" w:history="1">
        <w:r>
          <w:rPr>
            <w:rStyle w:val="a3"/>
            <w:rFonts w:ascii="Arial" w:hAnsi="Arial" w:cs="Arial"/>
            <w:color w:val="E04E39"/>
            <w:sz w:val="27"/>
            <w:szCs w:val="27"/>
          </w:rPr>
          <w:t>Екатерина Брежнева</w:t>
        </w:r>
      </w:hyperlink>
      <w:r>
        <w:rPr>
          <w:rFonts w:ascii="Arial" w:hAnsi="Arial" w:cs="Arial"/>
          <w:color w:val="2C2A29"/>
          <w:sz w:val="27"/>
          <w:szCs w:val="27"/>
        </w:rPr>
        <w:t>.</w:t>
      </w:r>
      <w:r>
        <w:rPr>
          <w:rFonts w:ascii="Arial" w:hAnsi="Arial" w:cs="Arial"/>
          <w:color w:val="2C2A29"/>
          <w:sz w:val="27"/>
          <w:szCs w:val="27"/>
        </w:rPr>
        <w:br/>
      </w:r>
      <w:r>
        <w:rPr>
          <w:rFonts w:ascii="Arial" w:hAnsi="Arial" w:cs="Arial"/>
          <w:color w:val="2C2A29"/>
          <w:sz w:val="27"/>
          <w:szCs w:val="27"/>
        </w:rPr>
        <w:br/>
        <w:t>Все выпускные квалификационные работы оценены на «отлично». Живые дискуссии с экспертами дали выпускникам импульс для воплощения своей мечты.</w:t>
      </w:r>
    </w:p>
    <w:p w:rsidR="00D65DD4" w:rsidRPr="00F12855" w:rsidRDefault="00D65DD4" w:rsidP="00F12855"/>
    <w:sectPr w:rsidR="00D65DD4" w:rsidRPr="00F12855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C2A74"/>
    <w:rsid w:val="005E3747"/>
    <w:rsid w:val="00615784"/>
    <w:rsid w:val="009323B4"/>
    <w:rsid w:val="00AB20AA"/>
    <w:rsid w:val="00D65DD4"/>
    <w:rsid w:val="00E81AD6"/>
    <w:rsid w:val="00F1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F12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28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F1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oyarini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vk.com/kursk_ga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2024-07-01T13:49:00Z</dcterms:created>
  <dcterms:modified xsi:type="dcterms:W3CDTF">2024-07-01T13:49:00Z</dcterms:modified>
</cp:coreProperties>
</file>