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71" w:rsidRPr="009F2171" w:rsidRDefault="009F2171" w:rsidP="009F2171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9F217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В Курской области развивается социальное предпринимательство</w:t>
      </w:r>
    </w:p>
    <w:p w:rsidR="009F2171" w:rsidRDefault="009F2171" w:rsidP="009F2171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6029960" cy="4025714"/>
            <wp:effectExtent l="19050" t="0" r="8890" b="0"/>
            <wp:docPr id="5" name="Рисунок 5" descr="C:\Users\Экономика\Desktop\photo_2024_04_23_17_47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photo_2024_04_23_17_47_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2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171" w:rsidRPr="009F2171" w:rsidRDefault="009F2171" w:rsidP="009F2171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</w:p>
    <w:p w:rsidR="009F2171" w:rsidRPr="009F2171" w:rsidRDefault="009F2171" w:rsidP="009F2171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Годовая выручка социальных предпринимателей в стране составила более 102 </w:t>
      </w:r>
      <w:proofErr w:type="spellStart"/>
      <w:proofErr w:type="gramStart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>млрд</w:t>
      </w:r>
      <w:proofErr w:type="spellEnd"/>
      <w:proofErr w:type="gramEnd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рублей. В Минэкономразвития России актуализировали данные об их деятельности. На январь 2024 года в России зарегистрировано почти 11 тысяч социальных предприятий, из них 7,8 тысячи действуют в качестве ИП, 3,2 тысячи – в качестве юридических лиц. Они могут получать поддержку по нацпроекту «Малое и среднее предпринимательство», который инициировал Президент РФ.</w:t>
      </w:r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br/>
        <w:t>Данные подтверждают, что свыше 70% социальных предпринимателей – женщины. Больше всего предприятий в отраслях образования - 30%, здравоохранения и социальных услуг - 23%, культуры, спорта и организации досуга - 17%, в обрабатывающих производствах - 8%.</w:t>
      </w:r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br/>
        <w:t>Как отмечают российские эксперты, социальный бизнес устойчив к кризисам: около 80% компаний развивают свое дело более трех лет.</w:t>
      </w:r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br/>
        <w:t xml:space="preserve">«Жизнеспособность стала </w:t>
      </w:r>
      <w:proofErr w:type="gramStart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>возможной</w:t>
      </w:r>
      <w:proofErr w:type="gramEnd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в том числе благодаря инструментам поддержки. В Курской области для </w:t>
      </w:r>
      <w:proofErr w:type="spellStart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>соцпредпринимателей</w:t>
      </w:r>
      <w:proofErr w:type="spellEnd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снижены ставки по «</w:t>
      </w:r>
      <w:proofErr w:type="spellStart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>упрощенке</w:t>
      </w:r>
      <w:proofErr w:type="spellEnd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»: 1%, если объект налогообложения – доходы, 5% – если доходы минус расходы. Также действует механизм </w:t>
      </w:r>
      <w:proofErr w:type="spellStart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>грантовой</w:t>
      </w:r>
      <w:proofErr w:type="spellEnd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поддержки. За 3 года по нацпроекту «Малое и среднее предпринимательство» 35 социальных предприятий получили гранты на сумму свыше 17 </w:t>
      </w:r>
      <w:proofErr w:type="spellStart"/>
      <w:proofErr w:type="gramStart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>млн</w:t>
      </w:r>
      <w:proofErr w:type="spellEnd"/>
      <w:proofErr w:type="gramEnd"/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рублей», - отметил министр промышленности, торговли и предпринимательства Курской области Михаил Аксенов.</w:t>
      </w:r>
      <w:r w:rsidRPr="009F2171">
        <w:rPr>
          <w:rFonts w:ascii="Arial" w:eastAsia="Times New Roman" w:hAnsi="Arial" w:cs="Arial"/>
          <w:color w:val="474747"/>
          <w:sz w:val="20"/>
          <w:szCs w:val="20"/>
          <w:lang w:bidi="ar-SA"/>
        </w:rPr>
        <w:br/>
        <w:t>Сейчас в реестре социальных предприятий Курской области числится 55 субъектов МСП. Чтобы попасть в этот список, можно подать заявление в региональное Министерство промышленности, торговли и предпринимательства в течение всего года.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367BF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2171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F21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F21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F21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9F21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17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5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2024-04-25T14:24:00Z</dcterms:created>
  <dcterms:modified xsi:type="dcterms:W3CDTF">2024-04-25T14:24:00Z</dcterms:modified>
</cp:coreProperties>
</file>