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71" w:rsidRPr="00CC1B71" w:rsidRDefault="00CC1B71" w:rsidP="00CC1B7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CC1B7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Минэкономразвития поддерживает выход МСП на биржевой рынок</w:t>
      </w:r>
    </w:p>
    <w:p w:rsidR="00CC1B71" w:rsidRPr="00CC1B71" w:rsidRDefault="00CC1B71" w:rsidP="00CC1B71">
      <w:pPr>
        <w:widowControl/>
        <w:rPr>
          <w:rFonts w:ascii="Times New Roman" w:eastAsia="Times New Roman" w:hAnsi="Times New Roman" w:cs="Times New Roman"/>
          <w:color w:val="2C2A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940425" cy="3958221"/>
            <wp:effectExtent l="19050" t="0" r="3175" b="0"/>
            <wp:docPr id="3" name="Рисунок 3" descr="C:\Users\Экономика\Desktop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7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C1B7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C1B71">
        <w:rPr>
          <w:rFonts w:ascii="Times New Roman" w:eastAsia="Times New Roman" w:hAnsi="Times New Roman" w:cs="Times New Roman"/>
          <w:color w:val="2C2A29"/>
          <w:lang w:bidi="ar-SA"/>
        </w:rPr>
        <w:t>Поэтому предприниматели могут получить субсидию на возмещение части затрат по выпуску акций, облигаций и выплате купонного дохода по облигациям. Подать документы для получения поддержки за размещение ценных бумаг на бирже можно до 1 октября.</w:t>
      </w:r>
      <w:r w:rsidRPr="00CC1B71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CC1B71">
        <w:rPr>
          <w:rFonts w:ascii="Times New Roman" w:eastAsia="Times New Roman" w:hAnsi="Times New Roman" w:cs="Times New Roman"/>
          <w:color w:val="2C2A29"/>
          <w:lang w:bidi="ar-SA"/>
        </w:rPr>
        <w:br/>
        <w:t>Выход на биржевой рынок позволяет компании привлекать финансовые средства у нескольких инвесторов, поэтому не концентрирует все риски на одном кредиторе, который может поменять условия сотрудничества. Также предприниматель может более свободно распоряжаться своим долгом, решать вопросы по его выплате в более гибком формате. Например, выкупить долг, гасить облигации частично и поэтапно.</w:t>
      </w:r>
    </w:p>
    <w:p w:rsidR="00CC1B71" w:rsidRPr="00CC1B71" w:rsidRDefault="00CC1B71" w:rsidP="00CC1B71">
      <w:pPr>
        <w:widowControl/>
        <w:rPr>
          <w:rFonts w:ascii="Times New Roman" w:eastAsia="Times New Roman" w:hAnsi="Times New Roman" w:cs="Times New Roman"/>
          <w:color w:val="2C2A29"/>
          <w:lang w:bidi="ar-SA"/>
        </w:rPr>
      </w:pPr>
      <w:r w:rsidRPr="00CC1B71">
        <w:rPr>
          <w:rFonts w:ascii="Times New Roman" w:eastAsia="Times New Roman" w:hAnsi="Times New Roman" w:cs="Times New Roman"/>
          <w:color w:val="2C2A29"/>
          <w:lang w:bidi="ar-SA"/>
        </w:rPr>
        <w:t xml:space="preserve">Для того чтобы выйти на биржу, необходимо провести аудит, заплатить за листинг и </w:t>
      </w:r>
      <w:proofErr w:type="spellStart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рейтингование</w:t>
      </w:r>
      <w:proofErr w:type="spellEnd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. Расходы на процедуру могут составлять несколько миллионов рублей. Поэтому для малого и среднего бизнеса эта сумма может быть непосильной.</w:t>
      </w:r>
    </w:p>
    <w:p w:rsidR="00CC1B71" w:rsidRPr="00CC1B71" w:rsidRDefault="00CC1B71" w:rsidP="00CC1B71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lang w:bidi="ar-SA"/>
        </w:rPr>
      </w:pPr>
      <w:r w:rsidRPr="00CC1B71">
        <w:rPr>
          <w:rFonts w:ascii="Times New Roman" w:eastAsia="Times New Roman" w:hAnsi="Times New Roman" w:cs="Times New Roman"/>
          <w:color w:val="2C2A29"/>
          <w:lang w:bidi="ar-SA"/>
        </w:rPr>
        <w:t xml:space="preserve">«При этом программы льготного кредитования не могут полностью покрыть весь спрос бизнеса на финансирование. Поэтому Минэкономразвития реализует программу субсидирования субъектов МСП при выходе на биржу. С каждым годом инструмент </w:t>
      </w:r>
      <w:r w:rsidRPr="00CC1B71">
        <w:rPr>
          <w:rFonts w:ascii="Times New Roman" w:eastAsia="Times New Roman" w:hAnsi="Times New Roman" w:cs="Times New Roman"/>
          <w:color w:val="2C2A29"/>
          <w:lang w:bidi="ar-SA"/>
        </w:rPr>
        <w:lastRenderedPageBreak/>
        <w:t xml:space="preserve">становится более востребованным: в 2019 году поддержку получили семь выпусков бумаг на 1,89 </w:t>
      </w:r>
      <w:proofErr w:type="spellStart"/>
      <w:proofErr w:type="gramStart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млрд</w:t>
      </w:r>
      <w:proofErr w:type="spellEnd"/>
      <w:proofErr w:type="gramEnd"/>
      <w:r w:rsidRPr="00CC1B71">
        <w:rPr>
          <w:rFonts w:ascii="Times New Roman" w:eastAsia="Times New Roman" w:hAnsi="Times New Roman" w:cs="Times New Roman"/>
          <w:color w:val="2C2A29"/>
          <w:lang w:bidi="ar-SA"/>
        </w:rPr>
        <w:t xml:space="preserve"> рублей, в 2022-ом – 45 выпусков на 10,5 </w:t>
      </w:r>
      <w:proofErr w:type="spellStart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млрд</w:t>
      </w:r>
      <w:proofErr w:type="spellEnd"/>
      <w:r w:rsidRPr="00CC1B71">
        <w:rPr>
          <w:rFonts w:ascii="Times New Roman" w:eastAsia="Times New Roman" w:hAnsi="Times New Roman" w:cs="Times New Roman"/>
          <w:color w:val="2C2A29"/>
          <w:lang w:bidi="ar-SA"/>
        </w:rPr>
        <w:t xml:space="preserve"> рублей. Общий объем субсидий в 2022 году превысил 420 миллионов рублей», — отмечает замминистра экономического развития РФ Татьяна </w:t>
      </w:r>
      <w:proofErr w:type="spellStart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Илюшникова</w:t>
      </w:r>
      <w:proofErr w:type="spellEnd"/>
      <w:r w:rsidRPr="00CC1B71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CC1B71" w:rsidRPr="00CC1B71" w:rsidRDefault="00CC1B71" w:rsidP="00CC1B71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lang w:bidi="ar-SA"/>
        </w:rPr>
      </w:pPr>
      <w:r w:rsidRPr="00CC1B71">
        <w:rPr>
          <w:rFonts w:ascii="Times New Roman" w:eastAsia="Times New Roman" w:hAnsi="Times New Roman" w:cs="Times New Roman"/>
          <w:color w:val="2C2A29"/>
          <w:lang w:bidi="ar-SA"/>
        </w:rPr>
        <w:t>С требованиями к получателям, перечнем необходимых документов, с правилами рассмотрения заявок на заключение соглашений можно ознакомиться </w:t>
      </w:r>
      <w:hyperlink r:id="rId5" w:tgtFrame="_blank" w:history="1">
        <w:r w:rsidRPr="00CC1B71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по ссылке</w:t>
        </w:r>
      </w:hyperlink>
      <w:r w:rsidRPr="00CC1B71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CC1B71" w:rsidRPr="00CC1B71" w:rsidRDefault="00CC1B71" w:rsidP="00CC1B71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lang w:bidi="ar-SA"/>
        </w:rPr>
      </w:pPr>
      <w:r w:rsidRPr="00CC1B71">
        <w:rPr>
          <w:rFonts w:ascii="Times New Roman" w:eastAsia="Times New Roman" w:hAnsi="Times New Roman" w:cs="Times New Roman"/>
          <w:color w:val="2C2A29"/>
          <w:lang w:bidi="ar-SA"/>
        </w:rPr>
        <w:t>Прием документов будет проводиться с 1 сентября по 1 октября в государственной интегрированной информационной системе управления общественными финансами </w:t>
      </w:r>
      <w:hyperlink r:id="rId6" w:tgtFrame="_blank" w:history="1">
        <w:r w:rsidRPr="00CC1B71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«Электронный бюджет»</w:t>
        </w:r>
      </w:hyperlink>
      <w:r w:rsidRPr="00CC1B71">
        <w:rPr>
          <w:rFonts w:ascii="Times New Roman" w:eastAsia="Times New Roman" w:hAnsi="Times New Roman" w:cs="Times New Roman"/>
          <w:color w:val="2C2A29"/>
          <w:lang w:bidi="ar-SA"/>
        </w:rPr>
        <w:t> на портале предоставления мер финансовой государственной поддержки.</w:t>
      </w:r>
    </w:p>
    <w:p w:rsidR="00CC1B71" w:rsidRPr="00CC1B71" w:rsidRDefault="00CC1B71" w:rsidP="00CC1B71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lang w:bidi="ar-SA"/>
        </w:rPr>
      </w:pPr>
      <w:r w:rsidRPr="00CC1B71">
        <w:rPr>
          <w:rFonts w:ascii="Times New Roman" w:eastAsia="Times New Roman" w:hAnsi="Times New Roman" w:cs="Times New Roman"/>
          <w:color w:val="2C2A29"/>
          <w:lang w:bidi="ar-SA"/>
        </w:rPr>
        <w:t>Субсидия из федерального бюджета предоставляется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8B03B1" w:rsidRPr="00CC1B71" w:rsidRDefault="008B03B1" w:rsidP="00417C77">
      <w:pPr>
        <w:rPr>
          <w:rFonts w:ascii="Times New Roman" w:hAnsi="Times New Roman" w:cs="Times New Roman"/>
        </w:rPr>
      </w:pPr>
    </w:p>
    <w:sectPr w:rsidR="008B03B1" w:rsidRPr="00CC1B7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7A7542"/>
    <w:rsid w:val="008B03B1"/>
    <w:rsid w:val="0097018D"/>
    <w:rsid w:val="00C55341"/>
    <w:rsid w:val="00CC1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C1B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CC1B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CC1B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Hyperlink"/>
    <w:basedOn w:val="a0"/>
    <w:uiPriority w:val="99"/>
    <w:semiHidden/>
    <w:unhideWhenUsed/>
    <w:rsid w:val="00CC1B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1B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ote.budget.gov.ru/" TargetMode="External"/><Relationship Id="rId5" Type="http://schemas.openxmlformats.org/officeDocument/2006/relationships/hyperlink" Target="https://www.economy.gov.ru/material/news/minekonomrazvitiya_zapuskaet_priem_zayavok_ot_msp_na_subsidii_za_razmeshchenie_cennyh_bumag_na_birzhe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2023-09-27T11:36:00Z</dcterms:created>
  <dcterms:modified xsi:type="dcterms:W3CDTF">2023-09-27T11:36:00Z</dcterms:modified>
</cp:coreProperties>
</file>